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/>
    <w:p/>
    <w:p/>
    <w:p/>
    <w:p/>
    <w:p/>
    <w:p/>
    <w:p/>
    <w:p>
      <w:pPr>
        <w:tabs>
          <w:tab w:val="left" w:pos="2865"/>
        </w:tabs>
        <w:jc w:val="center"/>
        <w:rPr>
          <w:rFonts w:ascii="宋体"/>
          <w:b/>
          <w:sz w:val="72"/>
          <w:szCs w:val="72"/>
        </w:rPr>
      </w:pPr>
      <w:r>
        <w:rPr>
          <w:rFonts w:hint="eastAsia" w:ascii="宋体" w:hAnsi="宋体"/>
          <w:b/>
          <w:sz w:val="72"/>
          <w:szCs w:val="72"/>
        </w:rPr>
        <w:t>梨树县人才开发交流服务中心</w:t>
      </w:r>
      <w:r>
        <w:rPr>
          <w:rFonts w:ascii="宋体" w:hAnsi="宋体"/>
          <w:b/>
          <w:sz w:val="72"/>
          <w:szCs w:val="72"/>
        </w:rPr>
        <w:t>20</w:t>
      </w:r>
      <w:r>
        <w:rPr>
          <w:rFonts w:hint="eastAsia" w:ascii="宋体" w:hAnsi="宋体"/>
          <w:b/>
          <w:sz w:val="72"/>
          <w:szCs w:val="72"/>
        </w:rPr>
        <w:t>2</w:t>
      </w:r>
      <w:r>
        <w:rPr>
          <w:rFonts w:ascii="宋体" w:hAnsi="宋体"/>
          <w:b/>
          <w:sz w:val="72"/>
          <w:szCs w:val="72"/>
        </w:rPr>
        <w:t>1</w:t>
      </w:r>
      <w:r>
        <w:rPr>
          <w:rFonts w:hint="eastAsia" w:ascii="宋体" w:hAnsi="宋体"/>
          <w:b/>
          <w:sz w:val="72"/>
          <w:szCs w:val="72"/>
        </w:rPr>
        <w:t>年部门预算</w:t>
      </w:r>
    </w:p>
    <w:p>
      <w:pPr>
        <w:rPr>
          <w:rFonts w:ascii="宋体"/>
          <w:sz w:val="72"/>
          <w:szCs w:val="72"/>
        </w:rPr>
      </w:pPr>
    </w:p>
    <w:p>
      <w:pPr>
        <w:rPr>
          <w:rFonts w:ascii="宋体"/>
          <w:sz w:val="72"/>
          <w:szCs w:val="72"/>
        </w:rPr>
      </w:pPr>
    </w:p>
    <w:p>
      <w:pPr>
        <w:rPr>
          <w:rFonts w:ascii="宋体"/>
          <w:sz w:val="72"/>
          <w:szCs w:val="72"/>
        </w:rPr>
      </w:pPr>
    </w:p>
    <w:p>
      <w:pPr>
        <w:rPr>
          <w:rFonts w:ascii="宋体"/>
          <w:sz w:val="72"/>
          <w:szCs w:val="72"/>
        </w:rPr>
      </w:pPr>
    </w:p>
    <w:p>
      <w:pPr>
        <w:rPr>
          <w:rFonts w:ascii="宋体"/>
          <w:sz w:val="72"/>
          <w:szCs w:val="72"/>
        </w:rPr>
      </w:pPr>
    </w:p>
    <w:p>
      <w:pPr>
        <w:rPr>
          <w:rFonts w:ascii="宋体"/>
          <w:sz w:val="72"/>
          <w:szCs w:val="72"/>
        </w:rPr>
      </w:pPr>
    </w:p>
    <w:p>
      <w:pPr>
        <w:tabs>
          <w:tab w:val="left" w:pos="2595"/>
        </w:tabs>
        <w:jc w:val="center"/>
        <w:rPr>
          <w:rFonts w:asci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二〇二一年</w:t>
      </w:r>
    </w:p>
    <w:p>
      <w:pPr>
        <w:tabs>
          <w:tab w:val="left" w:pos="2595"/>
        </w:tabs>
        <w:jc w:val="center"/>
        <w:rPr>
          <w:rFonts w:ascii="宋体"/>
          <w:sz w:val="36"/>
          <w:szCs w:val="36"/>
        </w:rPr>
      </w:pPr>
    </w:p>
    <w:p>
      <w:pPr>
        <w:tabs>
          <w:tab w:val="left" w:pos="2595"/>
        </w:tabs>
        <w:jc w:val="center"/>
        <w:rPr>
          <w:rFonts w:ascii="宋体"/>
          <w:sz w:val="36"/>
          <w:szCs w:val="36"/>
        </w:rPr>
      </w:pPr>
    </w:p>
    <w:p>
      <w:pPr>
        <w:tabs>
          <w:tab w:val="left" w:pos="2595"/>
        </w:tabs>
        <w:jc w:val="center"/>
        <w:rPr>
          <w:rFonts w:asci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目</w:t>
      </w:r>
      <w:r>
        <w:rPr>
          <w:rFonts w:ascii="宋体" w:hAnsi="宋体"/>
          <w:b/>
          <w:sz w:val="36"/>
          <w:szCs w:val="36"/>
        </w:rPr>
        <w:t xml:space="preserve">    </w:t>
      </w:r>
      <w:r>
        <w:rPr>
          <w:rFonts w:hint="eastAsia" w:ascii="宋体" w:hAnsi="宋体"/>
          <w:b/>
          <w:sz w:val="36"/>
          <w:szCs w:val="36"/>
        </w:rPr>
        <w:t>录</w:t>
      </w:r>
    </w:p>
    <w:p>
      <w:pPr>
        <w:tabs>
          <w:tab w:val="left" w:pos="2595"/>
        </w:tabs>
        <w:jc w:val="left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第一部分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hint="eastAsia" w:ascii="宋体" w:hAnsi="宋体"/>
          <w:b/>
          <w:sz w:val="32"/>
          <w:szCs w:val="32"/>
        </w:rPr>
        <w:t>部门概况</w:t>
      </w:r>
    </w:p>
    <w:p>
      <w:pPr>
        <w:pStyle w:val="8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主要职能</w:t>
      </w:r>
    </w:p>
    <w:p>
      <w:pPr>
        <w:pStyle w:val="8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机构设置</w:t>
      </w:r>
    </w:p>
    <w:p>
      <w:pPr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第二部分</w:t>
      </w:r>
      <w:r>
        <w:rPr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预算表格</w:t>
      </w:r>
    </w:p>
    <w:p>
      <w:pPr>
        <w:pStyle w:val="8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收支预算表</w:t>
      </w:r>
    </w:p>
    <w:p>
      <w:pPr>
        <w:pStyle w:val="8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收入预算表</w:t>
      </w:r>
    </w:p>
    <w:p>
      <w:pPr>
        <w:pStyle w:val="8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支出预算表</w:t>
      </w:r>
    </w:p>
    <w:p>
      <w:pPr>
        <w:pStyle w:val="8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财政拨款收支预算表</w:t>
      </w:r>
    </w:p>
    <w:p>
      <w:pPr>
        <w:pStyle w:val="8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一般公共预算财政拨款功能分类支出预算表</w:t>
      </w:r>
    </w:p>
    <w:p>
      <w:pPr>
        <w:pStyle w:val="8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一般公共预算财政拨款部门经济分类支出预算表</w:t>
      </w:r>
    </w:p>
    <w:p>
      <w:pPr>
        <w:pStyle w:val="8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一般公共预算财政拨款政府经济分类支出预算表</w:t>
      </w:r>
    </w:p>
    <w:p>
      <w:pPr>
        <w:pStyle w:val="8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一般公共预算财政拨款“三公”经费支出预算表</w:t>
      </w:r>
    </w:p>
    <w:p>
      <w:pPr>
        <w:pStyle w:val="8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政府性基金预算财政拨款支出预算表</w:t>
      </w:r>
    </w:p>
    <w:p>
      <w:pPr>
        <w:pStyle w:val="8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项目支出绩效目标表</w:t>
      </w:r>
    </w:p>
    <w:p>
      <w:pPr>
        <w:pStyle w:val="8"/>
        <w:ind w:firstLine="0" w:firstLineChars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第三部分   情况说明</w:t>
      </w:r>
    </w:p>
    <w:p>
      <w:pPr>
        <w:pStyle w:val="8"/>
        <w:ind w:firstLine="0" w:firstLineChars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第四部分   名词解释</w:t>
      </w:r>
    </w:p>
    <w:p/>
    <w:p/>
    <w:p/>
    <w:p/>
    <w:p/>
    <w:p/>
    <w:p/>
    <w:p/>
    <w:p/>
    <w:p/>
    <w:p/>
    <w:p>
      <w:pPr>
        <w:tabs>
          <w:tab w:val="left" w:pos="2595"/>
        </w:tabs>
        <w:jc w:val="center"/>
        <w:rPr>
          <w:rFonts w:ascii="宋体" w:hAnsi="宋体"/>
          <w:b/>
          <w:sz w:val="32"/>
          <w:szCs w:val="32"/>
        </w:rPr>
      </w:pPr>
    </w:p>
    <w:p>
      <w:pPr>
        <w:tabs>
          <w:tab w:val="left" w:pos="2595"/>
        </w:tabs>
        <w:jc w:val="center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第一部分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hint="eastAsia" w:ascii="宋体" w:hAnsi="宋体"/>
          <w:b/>
          <w:sz w:val="32"/>
          <w:szCs w:val="32"/>
        </w:rPr>
        <w:t>部门概况</w:t>
      </w:r>
    </w:p>
    <w:p>
      <w:pPr>
        <w:numPr>
          <w:ilvl w:val="0"/>
          <w:numId w:val="3"/>
        </w:numPr>
        <w:rPr>
          <w:sz w:val="32"/>
          <w:szCs w:val="32"/>
        </w:rPr>
      </w:pPr>
      <w:r>
        <w:rPr>
          <w:rFonts w:hint="eastAsia"/>
          <w:sz w:val="32"/>
          <w:szCs w:val="32"/>
        </w:rPr>
        <w:t>主要职能</w:t>
      </w:r>
    </w:p>
    <w:p>
      <w:pPr>
        <w:ind w:firstLine="640" w:firstLineChars="200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一是负责大中专毕业生档案管理和人事代理；</w:t>
      </w:r>
    </w:p>
    <w:p>
      <w:pPr>
        <w:ind w:firstLine="640" w:firstLineChars="200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二是为全县企事业单位筹集人才；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 w:ascii="仿宋" w:hAnsi="仿宋" w:eastAsia="仿宋"/>
          <w:sz w:val="32"/>
        </w:rPr>
        <w:t>三是负责县内外人才交流。机构设置及部门决算单位构成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二、机构设置</w:t>
      </w:r>
      <w:r>
        <w:t xml:space="preserve">    </w:t>
      </w:r>
    </w:p>
    <w:p>
      <w:pPr>
        <w:ind w:firstLine="640" w:firstLineChars="200"/>
        <w:rPr>
          <w:rFonts w:hint="eastAsia" w:ascii="仿宋" w:hAnsi="仿宋" w:eastAsia="仿宋"/>
          <w:sz w:val="32"/>
        </w:rPr>
      </w:pPr>
      <w:r>
        <w:rPr>
          <w:sz w:val="32"/>
          <w:szCs w:val="32"/>
        </w:rPr>
        <w:tab/>
      </w:r>
      <w:r>
        <w:rPr>
          <w:rFonts w:hint="eastAsia" w:ascii="仿宋" w:hAnsi="仿宋" w:eastAsia="仿宋"/>
          <w:sz w:val="32"/>
        </w:rPr>
        <w:t>根据上述职责，梨树县人才开发交流服务中心，内设0个机构。</w:t>
      </w:r>
    </w:p>
    <w:p>
      <w:pPr>
        <w:ind w:firstLine="640" w:firstLineChars="200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纳入</w:t>
      </w:r>
      <w:r>
        <w:rPr>
          <w:rFonts w:hint="eastAsia" w:ascii="仿宋" w:hAnsi="仿宋" w:eastAsia="仿宋"/>
          <w:sz w:val="32"/>
          <w:szCs w:val="30"/>
        </w:rPr>
        <w:t>梨树县人才开发交流服务中心</w:t>
      </w:r>
      <w:r>
        <w:rPr>
          <w:rFonts w:ascii="宋体" w:hAnsi="宋体"/>
          <w:sz w:val="32"/>
        </w:rPr>
        <w:t>202</w:t>
      </w:r>
      <w:r>
        <w:rPr>
          <w:rFonts w:hint="eastAsia" w:ascii="宋体" w:hAnsi="宋体"/>
          <w:sz w:val="32"/>
        </w:rPr>
        <w:t>0</w:t>
      </w:r>
      <w:r>
        <w:rPr>
          <w:rFonts w:hint="eastAsia" w:ascii="仿宋" w:hAnsi="仿宋" w:eastAsia="仿宋"/>
          <w:sz w:val="32"/>
        </w:rPr>
        <w:t>年度部门</w:t>
      </w:r>
      <w:r>
        <w:rPr>
          <w:rFonts w:hint="eastAsia" w:ascii="仿宋" w:hAnsi="仿宋" w:eastAsia="仿宋"/>
          <w:sz w:val="32"/>
          <w:lang w:eastAsia="zh-CN"/>
        </w:rPr>
        <w:t>预算</w:t>
      </w:r>
      <w:r>
        <w:rPr>
          <w:rFonts w:hint="eastAsia" w:ascii="仿宋" w:hAnsi="仿宋" w:eastAsia="仿宋"/>
          <w:sz w:val="32"/>
        </w:rPr>
        <w:t>编制范围的单位包括：</w:t>
      </w:r>
    </w:p>
    <w:p>
      <w:pPr>
        <w:numPr>
          <w:ilvl w:val="0"/>
          <w:numId w:val="4"/>
        </w:numPr>
        <w:ind w:firstLine="640" w:firstLineChars="200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梨树县人才开发交流服务中心</w:t>
      </w:r>
    </w:p>
    <w:p>
      <w:pPr>
        <w:tabs>
          <w:tab w:val="left" w:pos="690"/>
        </w:tabs>
        <w:rPr>
          <w:rFonts w:ascii="宋体"/>
          <w:sz w:val="32"/>
          <w:szCs w:val="32"/>
        </w:rPr>
      </w:pPr>
    </w:p>
    <w:p>
      <w:pPr>
        <w:tabs>
          <w:tab w:val="left" w:pos="690"/>
        </w:tabs>
        <w:jc w:val="center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第二部分</w:t>
      </w:r>
      <w:r>
        <w:rPr>
          <w:rFonts w:ascii="宋体" w:hAnsi="宋体"/>
          <w:b/>
          <w:sz w:val="32"/>
          <w:szCs w:val="32"/>
        </w:rPr>
        <w:t xml:space="preserve">  </w:t>
      </w:r>
      <w:r>
        <w:rPr>
          <w:rFonts w:hint="eastAsia" w:ascii="宋体" w:hAnsi="宋体"/>
          <w:b/>
          <w:sz w:val="32"/>
          <w:szCs w:val="32"/>
        </w:rPr>
        <w:t>预算表格</w:t>
      </w:r>
    </w:p>
    <w:p>
      <w:pPr>
        <w:tabs>
          <w:tab w:val="left" w:pos="690"/>
        </w:tabs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 xml:space="preserve">    </w:t>
      </w:r>
      <w:r>
        <w:rPr>
          <w:rFonts w:hint="eastAsia" w:ascii="宋体" w:hAnsi="宋体"/>
          <w:sz w:val="32"/>
          <w:szCs w:val="32"/>
        </w:rPr>
        <w:t>详见附表</w:t>
      </w:r>
      <w:r>
        <w:rPr>
          <w:rFonts w:ascii="宋体" w:hAnsi="宋体"/>
          <w:sz w:val="32"/>
          <w:szCs w:val="32"/>
        </w:rPr>
        <w:t>1-9</w:t>
      </w:r>
    </w:p>
    <w:p>
      <w:pPr>
        <w:tabs>
          <w:tab w:val="left" w:pos="1200"/>
        </w:tabs>
        <w:jc w:val="center"/>
        <w:rPr>
          <w:rFonts w:ascii="宋体"/>
          <w:b/>
          <w:bCs/>
          <w:sz w:val="32"/>
          <w:szCs w:val="32"/>
        </w:rPr>
      </w:pPr>
      <w:r>
        <w:rPr>
          <w:rFonts w:hint="eastAsia" w:ascii="宋体"/>
          <w:b/>
          <w:bCs/>
          <w:sz w:val="32"/>
          <w:szCs w:val="32"/>
        </w:rPr>
        <w:t>第三部分   情况说明</w:t>
      </w:r>
    </w:p>
    <w:p>
      <w:pPr>
        <w:tabs>
          <w:tab w:val="left" w:pos="1200"/>
        </w:tabs>
        <w:ind w:firstLine="640" w:firstLineChars="20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一、2021年收支预算总体情况</w:t>
      </w:r>
    </w:p>
    <w:p>
      <w:pPr>
        <w:tabs>
          <w:tab w:val="left" w:pos="1200"/>
        </w:tabs>
        <w:ind w:firstLine="66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按照综合预算的原则，所有收入和支出全部纳入部门预算管理。收入包括：一般公共预算拨款收入、其他收入、上年结转等；支出包括：一般公共服务支出、社会保障和就业支出、卫生健康支出、住房保障支出、结转下年支出等。2021年收支总预算</w:t>
      </w:r>
      <w:r>
        <w:rPr>
          <w:rFonts w:hint="eastAsia" w:ascii="宋体"/>
          <w:sz w:val="32"/>
          <w:szCs w:val="32"/>
          <w:lang w:val="en-US" w:eastAsia="zh-CN"/>
        </w:rPr>
        <w:t>50.59</w:t>
      </w:r>
      <w:r>
        <w:rPr>
          <w:rFonts w:hint="eastAsia" w:ascii="宋体"/>
          <w:sz w:val="32"/>
          <w:szCs w:val="32"/>
        </w:rPr>
        <w:t>万元，</w:t>
      </w:r>
      <w:r>
        <w:rPr>
          <w:rFonts w:hint="eastAsia" w:ascii="宋体"/>
          <w:sz w:val="32"/>
          <w:szCs w:val="32"/>
          <w:lang w:eastAsia="zh-CN"/>
        </w:rPr>
        <w:t>比</w:t>
      </w:r>
      <w:r>
        <w:rPr>
          <w:rFonts w:hint="eastAsia" w:ascii="宋体"/>
          <w:sz w:val="32"/>
          <w:szCs w:val="32"/>
        </w:rPr>
        <w:t>2020年年初预算</w:t>
      </w:r>
      <w:r>
        <w:rPr>
          <w:rFonts w:hint="eastAsia" w:ascii="宋体"/>
          <w:sz w:val="32"/>
          <w:szCs w:val="32"/>
          <w:lang w:eastAsia="zh-CN"/>
        </w:rPr>
        <w:t>减少</w:t>
      </w:r>
      <w:r>
        <w:rPr>
          <w:rFonts w:hint="eastAsia" w:ascii="宋体"/>
          <w:sz w:val="32"/>
          <w:szCs w:val="32"/>
          <w:lang w:val="en-US" w:eastAsia="zh-CN"/>
        </w:rPr>
        <w:t>27.58万元，主要原因是项目支出减少</w:t>
      </w:r>
      <w:r>
        <w:rPr>
          <w:rFonts w:hint="eastAsia" w:ascii="宋体"/>
          <w:sz w:val="32"/>
          <w:szCs w:val="32"/>
        </w:rPr>
        <w:t>。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二、2021年收入预算情况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2021年收入预算</w:t>
      </w:r>
      <w:r>
        <w:rPr>
          <w:rFonts w:hint="eastAsia" w:ascii="宋体"/>
          <w:sz w:val="32"/>
          <w:szCs w:val="32"/>
          <w:lang w:val="en-US" w:eastAsia="zh-CN"/>
        </w:rPr>
        <w:t>50.59</w:t>
      </w:r>
      <w:r>
        <w:rPr>
          <w:rFonts w:hint="eastAsia" w:ascii="宋体"/>
          <w:sz w:val="32"/>
          <w:szCs w:val="32"/>
        </w:rPr>
        <w:t>万元，其中：本年收入</w:t>
      </w:r>
      <w:r>
        <w:rPr>
          <w:rFonts w:hint="eastAsia" w:ascii="宋体"/>
          <w:sz w:val="32"/>
          <w:szCs w:val="32"/>
          <w:lang w:val="en-US" w:eastAsia="zh-CN"/>
        </w:rPr>
        <w:t>50.59</w:t>
      </w:r>
      <w:r>
        <w:rPr>
          <w:rFonts w:hint="eastAsia" w:ascii="宋体"/>
          <w:sz w:val="32"/>
          <w:szCs w:val="32"/>
        </w:rPr>
        <w:t>万元，占100%。本年收入中，一般公共预算拨款收入</w:t>
      </w:r>
      <w:r>
        <w:rPr>
          <w:rFonts w:hint="eastAsia" w:ascii="宋体"/>
          <w:sz w:val="32"/>
          <w:szCs w:val="32"/>
          <w:lang w:val="en-US" w:eastAsia="zh-CN"/>
        </w:rPr>
        <w:t>50.59</w:t>
      </w:r>
      <w:r>
        <w:rPr>
          <w:rFonts w:hint="eastAsia" w:ascii="宋体"/>
          <w:sz w:val="32"/>
          <w:szCs w:val="32"/>
        </w:rPr>
        <w:t>万元，占100%。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三、2021年支出预算情况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2021年支出预算</w:t>
      </w:r>
      <w:r>
        <w:rPr>
          <w:rFonts w:hint="eastAsia" w:ascii="宋体"/>
          <w:sz w:val="32"/>
          <w:szCs w:val="32"/>
          <w:lang w:val="en-US" w:eastAsia="zh-CN"/>
        </w:rPr>
        <w:t>50.59</w:t>
      </w:r>
      <w:r>
        <w:rPr>
          <w:rFonts w:hint="eastAsia" w:ascii="宋体"/>
          <w:sz w:val="32"/>
          <w:szCs w:val="32"/>
        </w:rPr>
        <w:t xml:space="preserve">万元，其中：基本支出 </w:t>
      </w:r>
      <w:r>
        <w:rPr>
          <w:rFonts w:hint="eastAsia" w:ascii="宋体"/>
          <w:sz w:val="32"/>
          <w:szCs w:val="32"/>
          <w:lang w:val="en-US" w:eastAsia="zh-CN"/>
        </w:rPr>
        <w:t>50.59</w:t>
      </w:r>
      <w:r>
        <w:rPr>
          <w:rFonts w:hint="eastAsia" w:ascii="宋体"/>
          <w:sz w:val="32"/>
          <w:szCs w:val="32"/>
        </w:rPr>
        <w:t>万元，占100%。基本支出中，人员经费</w:t>
      </w:r>
      <w:r>
        <w:rPr>
          <w:rFonts w:hint="eastAsia" w:ascii="宋体"/>
          <w:sz w:val="32"/>
          <w:szCs w:val="32"/>
          <w:lang w:val="en-US" w:eastAsia="zh-CN"/>
        </w:rPr>
        <w:t>50.19</w:t>
      </w:r>
      <w:r>
        <w:rPr>
          <w:rFonts w:hint="eastAsia" w:ascii="宋体"/>
          <w:sz w:val="32"/>
          <w:szCs w:val="32"/>
        </w:rPr>
        <w:t>万元，占99.</w:t>
      </w:r>
      <w:r>
        <w:rPr>
          <w:rFonts w:hint="eastAsia" w:ascii="宋体"/>
          <w:sz w:val="32"/>
          <w:szCs w:val="32"/>
          <w:lang w:val="en-US" w:eastAsia="zh-CN"/>
        </w:rPr>
        <w:t>21</w:t>
      </w:r>
      <w:r>
        <w:rPr>
          <w:rFonts w:hint="eastAsia" w:ascii="宋体"/>
          <w:sz w:val="32"/>
          <w:szCs w:val="32"/>
        </w:rPr>
        <w:t>%；公用经费0.</w:t>
      </w:r>
      <w:r>
        <w:rPr>
          <w:rFonts w:hint="eastAsia" w:ascii="宋体"/>
          <w:sz w:val="32"/>
          <w:szCs w:val="32"/>
          <w:lang w:val="en-US" w:eastAsia="zh-CN"/>
        </w:rPr>
        <w:t>4</w:t>
      </w:r>
      <w:r>
        <w:rPr>
          <w:rFonts w:hint="eastAsia" w:ascii="宋体"/>
          <w:sz w:val="32"/>
          <w:szCs w:val="32"/>
        </w:rPr>
        <w:t>万元，占0.</w:t>
      </w:r>
      <w:r>
        <w:rPr>
          <w:rFonts w:hint="eastAsia" w:ascii="宋体"/>
          <w:sz w:val="32"/>
          <w:szCs w:val="32"/>
          <w:lang w:val="en-US" w:eastAsia="zh-CN"/>
        </w:rPr>
        <w:t>79</w:t>
      </w:r>
      <w:r>
        <w:rPr>
          <w:rFonts w:hint="eastAsia" w:ascii="宋体"/>
          <w:sz w:val="32"/>
          <w:szCs w:val="32"/>
        </w:rPr>
        <w:t>%。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四、2021年财政拨款收支预算情况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hint="eastAsia"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2021年财政拨款收支总预算</w:t>
      </w:r>
      <w:r>
        <w:rPr>
          <w:rFonts w:hint="eastAsia" w:ascii="宋体"/>
          <w:sz w:val="32"/>
          <w:szCs w:val="32"/>
          <w:lang w:val="en-US" w:eastAsia="zh-CN"/>
        </w:rPr>
        <w:t>50.59</w:t>
      </w:r>
      <w:r>
        <w:rPr>
          <w:rFonts w:hint="eastAsia" w:ascii="宋体"/>
          <w:sz w:val="32"/>
          <w:szCs w:val="32"/>
        </w:rPr>
        <w:t>万元，其中：一般公共预算拨款</w:t>
      </w:r>
      <w:r>
        <w:rPr>
          <w:rFonts w:hint="eastAsia" w:ascii="宋体"/>
          <w:sz w:val="32"/>
          <w:szCs w:val="32"/>
          <w:lang w:val="en-US" w:eastAsia="zh-CN"/>
        </w:rPr>
        <w:t>50.59</w:t>
      </w:r>
      <w:r>
        <w:rPr>
          <w:rFonts w:hint="eastAsia" w:ascii="宋体"/>
          <w:sz w:val="32"/>
          <w:szCs w:val="32"/>
        </w:rPr>
        <w:t xml:space="preserve">万元。支出包括：社会保障和就业支出 </w:t>
      </w:r>
      <w:r>
        <w:rPr>
          <w:rFonts w:hint="eastAsia" w:ascii="宋体"/>
          <w:sz w:val="32"/>
          <w:szCs w:val="32"/>
          <w:lang w:val="en-US" w:eastAsia="zh-CN"/>
        </w:rPr>
        <w:t>45.3</w:t>
      </w:r>
      <w:r>
        <w:rPr>
          <w:rFonts w:hint="eastAsia" w:ascii="宋体"/>
          <w:sz w:val="32"/>
          <w:szCs w:val="32"/>
        </w:rPr>
        <w:t>万元，卫生健康支出</w:t>
      </w:r>
      <w:r>
        <w:rPr>
          <w:rFonts w:hint="eastAsia" w:ascii="宋体"/>
          <w:sz w:val="32"/>
          <w:szCs w:val="32"/>
          <w:lang w:val="en-US" w:eastAsia="zh-CN"/>
        </w:rPr>
        <w:t>2.83</w:t>
      </w:r>
      <w:r>
        <w:rPr>
          <w:rFonts w:hint="eastAsia" w:ascii="宋体"/>
          <w:sz w:val="32"/>
          <w:szCs w:val="32"/>
        </w:rPr>
        <w:t>元，住房保障支出</w:t>
      </w:r>
      <w:r>
        <w:rPr>
          <w:rFonts w:hint="eastAsia" w:ascii="宋体"/>
          <w:sz w:val="32"/>
          <w:szCs w:val="32"/>
          <w:lang w:val="en-US" w:eastAsia="zh-CN"/>
        </w:rPr>
        <w:t>2.46</w:t>
      </w:r>
      <w:r>
        <w:rPr>
          <w:rFonts w:hint="eastAsia" w:ascii="宋体"/>
          <w:sz w:val="32"/>
          <w:szCs w:val="32"/>
        </w:rPr>
        <w:t>元。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五、2021年一般公共预算财政拨款情况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2021年一般公共预算当年拨款</w:t>
      </w:r>
      <w:r>
        <w:rPr>
          <w:rFonts w:hint="eastAsia" w:ascii="宋体"/>
          <w:sz w:val="32"/>
          <w:szCs w:val="32"/>
          <w:lang w:val="en-US" w:eastAsia="zh-CN"/>
        </w:rPr>
        <w:t>50.59</w:t>
      </w:r>
      <w:r>
        <w:rPr>
          <w:rFonts w:hint="eastAsia" w:ascii="宋体"/>
          <w:sz w:val="32"/>
          <w:szCs w:val="32"/>
        </w:rPr>
        <w:t>万元，其中：基本支出</w:t>
      </w:r>
      <w:r>
        <w:rPr>
          <w:rFonts w:hint="eastAsia" w:ascii="宋体"/>
          <w:sz w:val="32"/>
          <w:szCs w:val="32"/>
          <w:lang w:val="en-US" w:eastAsia="zh-CN"/>
        </w:rPr>
        <w:t>50.59</w:t>
      </w:r>
      <w:r>
        <w:rPr>
          <w:rFonts w:hint="eastAsia" w:ascii="宋体"/>
          <w:sz w:val="32"/>
          <w:szCs w:val="32"/>
        </w:rPr>
        <w:t>万元，占100%。基本支出中，人员经费</w:t>
      </w:r>
      <w:r>
        <w:rPr>
          <w:rFonts w:hint="eastAsia" w:ascii="宋体"/>
          <w:sz w:val="32"/>
          <w:szCs w:val="32"/>
          <w:lang w:val="en-US" w:eastAsia="zh-CN"/>
        </w:rPr>
        <w:t>50.19</w:t>
      </w:r>
      <w:r>
        <w:rPr>
          <w:rFonts w:hint="eastAsia" w:ascii="宋体"/>
          <w:sz w:val="32"/>
          <w:szCs w:val="32"/>
        </w:rPr>
        <w:t>万元，占99.</w:t>
      </w:r>
      <w:r>
        <w:rPr>
          <w:rFonts w:hint="eastAsia" w:ascii="宋体"/>
          <w:sz w:val="32"/>
          <w:szCs w:val="32"/>
          <w:lang w:val="en-US" w:eastAsia="zh-CN"/>
        </w:rPr>
        <w:t>21</w:t>
      </w:r>
      <w:r>
        <w:rPr>
          <w:rFonts w:hint="eastAsia" w:ascii="宋体"/>
          <w:sz w:val="32"/>
          <w:szCs w:val="32"/>
        </w:rPr>
        <w:t>%；公用经费</w:t>
      </w:r>
      <w:r>
        <w:rPr>
          <w:rFonts w:hint="eastAsia" w:ascii="宋体"/>
          <w:sz w:val="32"/>
          <w:szCs w:val="32"/>
          <w:lang w:val="en-US" w:eastAsia="zh-CN"/>
        </w:rPr>
        <w:t>0.4</w:t>
      </w:r>
      <w:r>
        <w:rPr>
          <w:rFonts w:hint="eastAsia" w:ascii="宋体"/>
          <w:sz w:val="32"/>
          <w:szCs w:val="32"/>
        </w:rPr>
        <w:t>万元，占0.</w:t>
      </w:r>
      <w:r>
        <w:rPr>
          <w:rFonts w:hint="eastAsia" w:ascii="宋体"/>
          <w:sz w:val="32"/>
          <w:szCs w:val="32"/>
          <w:lang w:val="en-US" w:eastAsia="zh-CN"/>
        </w:rPr>
        <w:t>79</w:t>
      </w:r>
      <w:r>
        <w:rPr>
          <w:rFonts w:hint="eastAsia" w:ascii="宋体"/>
          <w:sz w:val="32"/>
          <w:szCs w:val="32"/>
        </w:rPr>
        <w:t>%。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hint="eastAsia"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收入包括：社会保障和就业支出</w:t>
      </w:r>
      <w:r>
        <w:rPr>
          <w:rFonts w:hint="eastAsia" w:ascii="宋体"/>
          <w:sz w:val="32"/>
          <w:szCs w:val="32"/>
          <w:lang w:val="en-US" w:eastAsia="zh-CN"/>
        </w:rPr>
        <w:t>5.3</w:t>
      </w:r>
      <w:r>
        <w:rPr>
          <w:rFonts w:hint="eastAsia" w:ascii="宋体"/>
          <w:sz w:val="32"/>
          <w:szCs w:val="32"/>
        </w:rPr>
        <w:t>万元，卫生健康支出</w:t>
      </w:r>
      <w:r>
        <w:rPr>
          <w:rFonts w:hint="eastAsia" w:ascii="宋体"/>
          <w:sz w:val="32"/>
          <w:szCs w:val="32"/>
          <w:lang w:val="en-US" w:eastAsia="zh-CN"/>
        </w:rPr>
        <w:t>2.83</w:t>
      </w:r>
      <w:r>
        <w:rPr>
          <w:rFonts w:hint="eastAsia" w:ascii="宋体"/>
          <w:sz w:val="32"/>
          <w:szCs w:val="32"/>
        </w:rPr>
        <w:t>元，住房保障支出</w:t>
      </w:r>
      <w:r>
        <w:rPr>
          <w:rFonts w:hint="eastAsia" w:ascii="宋体"/>
          <w:sz w:val="32"/>
          <w:szCs w:val="32"/>
          <w:lang w:val="en-US" w:eastAsia="zh-CN"/>
        </w:rPr>
        <w:t>2.46</w:t>
      </w:r>
      <w:r>
        <w:rPr>
          <w:rFonts w:hint="eastAsia" w:ascii="宋体"/>
          <w:sz w:val="32"/>
          <w:szCs w:val="32"/>
        </w:rPr>
        <w:t>元。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六、2021年一般公共预算基本支出情况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2021年一般公共预</w:t>
      </w:r>
      <w:bookmarkStart w:id="0" w:name="_GoBack"/>
      <w:bookmarkEnd w:id="0"/>
      <w:r>
        <w:rPr>
          <w:rFonts w:hint="eastAsia" w:ascii="宋体"/>
          <w:sz w:val="32"/>
          <w:szCs w:val="32"/>
        </w:rPr>
        <w:t>算基本支出</w:t>
      </w:r>
      <w:r>
        <w:rPr>
          <w:rFonts w:hint="eastAsia" w:ascii="宋体"/>
          <w:sz w:val="32"/>
          <w:szCs w:val="32"/>
          <w:lang w:val="en-US" w:eastAsia="zh-CN"/>
        </w:rPr>
        <w:t>50.59</w:t>
      </w:r>
      <w:r>
        <w:rPr>
          <w:rFonts w:hint="eastAsia" w:ascii="宋体"/>
          <w:sz w:val="32"/>
          <w:szCs w:val="32"/>
        </w:rPr>
        <w:t xml:space="preserve">万元，其中：人员经费 </w:t>
      </w:r>
      <w:r>
        <w:rPr>
          <w:rFonts w:hint="eastAsia" w:ascii="宋体"/>
          <w:sz w:val="32"/>
          <w:szCs w:val="32"/>
          <w:lang w:val="en-US" w:eastAsia="zh-CN"/>
        </w:rPr>
        <w:t>50.19</w:t>
      </w:r>
      <w:r>
        <w:rPr>
          <w:rFonts w:hint="eastAsia" w:ascii="宋体"/>
          <w:sz w:val="32"/>
          <w:szCs w:val="32"/>
        </w:rPr>
        <w:t>万元，主要包括：基本工资、津贴补贴、奖金、绩效工资、机关事业单位基本养老保险缴费、职工基本医疗保险缴费、公务员医疗补助缴费、其他社会保障缴费、住房公积金、医疗费、退休费、医疗补助、其他对个人和家庭的补助支出。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公用经费0.</w:t>
      </w:r>
      <w:r>
        <w:rPr>
          <w:rFonts w:hint="eastAsia" w:ascii="宋体"/>
          <w:sz w:val="32"/>
          <w:szCs w:val="32"/>
          <w:lang w:val="en-US" w:eastAsia="zh-CN"/>
        </w:rPr>
        <w:t>4</w:t>
      </w:r>
      <w:r>
        <w:rPr>
          <w:rFonts w:hint="eastAsia" w:ascii="宋体"/>
          <w:sz w:val="32"/>
          <w:szCs w:val="32"/>
        </w:rPr>
        <w:t>万元，主要包括：办公费、印刷费、水费、邮电费、差旅费、维修（护）费、租赁费、会议费、培训费、劳务费、其他交通费用、其他商品和服务支出。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七、2021年一般公共预算“三公”经费拨款情况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2021年“三公”经费预算数为 0万元，比2020年预算数减少 0万元。其中：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1、因公出国（境）费0万元，与2020年数持平。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2、公务接待费0万元，与2020年数持平。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3、公务用车购置及运行费0万元，与2020年数持平。其中，公务用车运行维护费0万元，与2020年数持平；公务用车购置0万元，与2020年数持平。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八、2021年政府性基金预算支出情况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本部门无政府性基金预算拨款。</w:t>
      </w:r>
    </w:p>
    <w:p>
      <w:pPr>
        <w:tabs>
          <w:tab w:val="left" w:pos="1200"/>
          <w:tab w:val="right" w:pos="8306"/>
        </w:tabs>
        <w:ind w:firstLine="63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九、其他重要事项的说明情况</w:t>
      </w:r>
    </w:p>
    <w:p>
      <w:pPr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 xml:space="preserve">   （一）机关运行经费</w:t>
      </w:r>
    </w:p>
    <w:p>
      <w:pPr>
        <w:ind w:firstLine="645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2021年部门本级共0家行政单位，机关运行经费财政拨款预算0万元，比2021年预算增加0万元，增长0%。</w:t>
      </w:r>
    </w:p>
    <w:p>
      <w:pPr>
        <w:ind w:firstLine="480" w:firstLineChars="150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（二）政府采购情况</w:t>
      </w:r>
    </w:p>
    <w:p>
      <w:pPr>
        <w:ind w:firstLine="645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2021年政府采购预算总额0万元，其中：政府采购货物预算0万元，政府采购工作预算0万元，政府采购服务预算0万元。</w:t>
      </w:r>
    </w:p>
    <w:p>
      <w:pPr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 xml:space="preserve">   （三）国有资产占有使用情况</w:t>
      </w:r>
    </w:p>
    <w:p>
      <w:pPr>
        <w:ind w:firstLine="480" w:firstLineChars="150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截止至2020年12月31日，部门本级和所属各预算单位共有车辆0辆，其中，领导干部用车0辆、一般公务用车0辆、一般执法执勤用车 0辆、特种专业技术用车0辆、其他用车0辆。单位价值50万元以上通用设备0台（套），单位价值100万元以上专用设备0台（套）。</w:t>
      </w:r>
    </w:p>
    <w:p>
      <w:pPr>
        <w:ind w:firstLine="480" w:firstLineChars="150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（四）项目支出绩效目标情况说明</w:t>
      </w:r>
    </w:p>
    <w:p>
      <w:pPr>
        <w:tabs>
          <w:tab w:val="left" w:pos="710"/>
        </w:tabs>
        <w:rPr>
          <w:rFonts w:ascii="宋体"/>
          <w:sz w:val="32"/>
          <w:szCs w:val="32"/>
        </w:rPr>
      </w:pPr>
      <w:r>
        <w:rPr>
          <w:rFonts w:ascii="宋体"/>
          <w:sz w:val="32"/>
          <w:szCs w:val="32"/>
        </w:rPr>
        <w:tab/>
      </w:r>
      <w:r>
        <w:rPr>
          <w:rFonts w:hint="eastAsia" w:ascii="宋体"/>
          <w:sz w:val="32"/>
          <w:szCs w:val="32"/>
        </w:rPr>
        <w:t>按照全面实施预算绩效管理的要求，结合本部门职能和重点工作，2021年确定0个项目支出的绩效目标和指标，涉及金额0万元。</w:t>
      </w:r>
    </w:p>
    <w:p>
      <w:pPr>
        <w:tabs>
          <w:tab w:val="left" w:pos="5025"/>
        </w:tabs>
        <w:jc w:val="center"/>
        <w:rPr>
          <w:rFonts w:ascii="宋体"/>
          <w:b/>
          <w:bCs/>
          <w:sz w:val="32"/>
          <w:szCs w:val="32"/>
        </w:rPr>
      </w:pPr>
      <w:r>
        <w:rPr>
          <w:rFonts w:hint="eastAsia" w:ascii="宋体"/>
          <w:b/>
          <w:bCs/>
          <w:sz w:val="32"/>
          <w:szCs w:val="32"/>
        </w:rPr>
        <w:t>第四部分  名词解释</w:t>
      </w:r>
    </w:p>
    <w:p>
      <w:pPr>
        <w:widowControl/>
        <w:shd w:val="clear" w:color="auto" w:fill="FFFFFF"/>
        <w:spacing w:line="450" w:lineRule="atLeast"/>
        <w:ind w:firstLine="480" w:firstLineChars="15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（一）</w:t>
      </w:r>
      <w:r>
        <w:rPr>
          <w:rFonts w:ascii="宋体"/>
          <w:sz w:val="32"/>
          <w:szCs w:val="32"/>
        </w:rPr>
        <w:t>一般公共预算拨款收入：指</w:t>
      </w:r>
      <w:r>
        <w:rPr>
          <w:rFonts w:hint="eastAsia" w:ascii="宋体"/>
          <w:sz w:val="32"/>
          <w:szCs w:val="32"/>
        </w:rPr>
        <w:t>县</w:t>
      </w:r>
      <w:r>
        <w:rPr>
          <w:rFonts w:ascii="宋体"/>
          <w:sz w:val="32"/>
          <w:szCs w:val="32"/>
        </w:rPr>
        <w:t>级财政通过当年一</w:t>
      </w:r>
    </w:p>
    <w:p>
      <w:pPr>
        <w:widowControl/>
        <w:shd w:val="clear" w:color="auto" w:fill="FFFFFF"/>
        <w:spacing w:line="450" w:lineRule="atLeast"/>
        <w:jc w:val="left"/>
        <w:rPr>
          <w:rFonts w:ascii="宋体"/>
          <w:sz w:val="32"/>
          <w:szCs w:val="32"/>
        </w:rPr>
      </w:pPr>
      <w:r>
        <w:rPr>
          <w:rFonts w:ascii="宋体"/>
          <w:sz w:val="32"/>
          <w:szCs w:val="32"/>
        </w:rPr>
        <w:t>般公共预算拨付的资金。</w:t>
      </w:r>
    </w:p>
    <w:p>
      <w:pPr>
        <w:widowControl/>
        <w:shd w:val="clear" w:color="auto" w:fill="FFFFFF"/>
        <w:wordWrap w:val="0"/>
        <w:spacing w:line="450" w:lineRule="atLeast"/>
        <w:jc w:val="left"/>
        <w:rPr>
          <w:rFonts w:ascii="宋体"/>
          <w:sz w:val="32"/>
          <w:szCs w:val="32"/>
        </w:rPr>
      </w:pPr>
      <w:r>
        <w:rPr>
          <w:rFonts w:ascii="宋体"/>
          <w:sz w:val="32"/>
          <w:szCs w:val="32"/>
        </w:rPr>
        <w:t>      （</w:t>
      </w:r>
      <w:r>
        <w:rPr>
          <w:rFonts w:hint="eastAsia" w:ascii="宋体"/>
          <w:sz w:val="32"/>
          <w:szCs w:val="32"/>
        </w:rPr>
        <w:t>二</w:t>
      </w:r>
      <w:r>
        <w:rPr>
          <w:rFonts w:ascii="宋体"/>
          <w:sz w:val="32"/>
          <w:szCs w:val="32"/>
        </w:rPr>
        <w:t>）其他收入：指除上述“一般公共预算拨款收入”、“事业收入”、“事业单位经营收入”等以外的收入。</w:t>
      </w:r>
    </w:p>
    <w:p>
      <w:pPr>
        <w:widowControl/>
        <w:shd w:val="clear" w:color="auto" w:fill="FFFFFF"/>
        <w:wordWrap w:val="0"/>
        <w:spacing w:line="450" w:lineRule="atLeast"/>
        <w:ind w:firstLine="480" w:firstLineChars="150"/>
        <w:jc w:val="left"/>
        <w:rPr>
          <w:rFonts w:ascii="宋体"/>
          <w:sz w:val="32"/>
          <w:szCs w:val="32"/>
        </w:rPr>
      </w:pPr>
      <w:r>
        <w:rPr>
          <w:rFonts w:hint="eastAsia" w:ascii="宋体"/>
          <w:sz w:val="32"/>
          <w:szCs w:val="32"/>
        </w:rPr>
        <w:t>（三）上级补助收入：指预算单位从主管部门或上级单位取得的非财政拨款补助收入。</w:t>
      </w:r>
    </w:p>
    <w:p>
      <w:pPr>
        <w:widowControl/>
        <w:shd w:val="clear" w:color="auto" w:fill="FFFFFF"/>
        <w:wordWrap w:val="0"/>
        <w:spacing w:line="450" w:lineRule="atLeast"/>
        <w:jc w:val="left"/>
        <w:rPr>
          <w:rFonts w:ascii="宋体"/>
          <w:sz w:val="32"/>
          <w:szCs w:val="32"/>
        </w:rPr>
      </w:pPr>
      <w:r>
        <w:rPr>
          <w:rFonts w:ascii="宋体"/>
          <w:sz w:val="32"/>
          <w:szCs w:val="32"/>
        </w:rPr>
        <w:t>      </w:t>
      </w:r>
      <w:r>
        <w:rPr>
          <w:rFonts w:hint="eastAsia" w:asci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（</w:t>
      </w:r>
      <w:r>
        <w:rPr>
          <w:rFonts w:hint="eastAsia" w:ascii="宋体"/>
          <w:sz w:val="32"/>
          <w:szCs w:val="32"/>
        </w:rPr>
        <w:t>四</w:t>
      </w:r>
      <w:r>
        <w:rPr>
          <w:rFonts w:ascii="宋体"/>
          <w:sz w:val="32"/>
          <w:szCs w:val="32"/>
        </w:rPr>
        <w:t>）上年结转：指以前年度尚未完成、结转到本年仍按原规定用途继续使用的资金。</w:t>
      </w:r>
    </w:p>
    <w:p>
      <w:pPr>
        <w:widowControl/>
        <w:shd w:val="clear" w:color="auto" w:fill="FFFFFF"/>
        <w:wordWrap w:val="0"/>
        <w:spacing w:line="450" w:lineRule="atLeast"/>
        <w:jc w:val="left"/>
        <w:rPr>
          <w:rFonts w:ascii="宋体"/>
          <w:sz w:val="32"/>
          <w:szCs w:val="32"/>
        </w:rPr>
      </w:pPr>
      <w:r>
        <w:rPr>
          <w:rFonts w:ascii="宋体"/>
          <w:sz w:val="32"/>
          <w:szCs w:val="32"/>
        </w:rPr>
        <w:t>    </w:t>
      </w:r>
      <w:r>
        <w:rPr>
          <w:rFonts w:hint="eastAsia" w:asci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  （</w:t>
      </w:r>
      <w:r>
        <w:rPr>
          <w:rFonts w:hint="eastAsia" w:ascii="宋体"/>
          <w:sz w:val="32"/>
          <w:szCs w:val="32"/>
        </w:rPr>
        <w:t>五</w:t>
      </w:r>
      <w:r>
        <w:rPr>
          <w:rFonts w:ascii="宋体"/>
          <w:sz w:val="32"/>
          <w:szCs w:val="32"/>
        </w:rPr>
        <w:t>）结转下年：指以前年度预算安排、因客观条件发生变化无法按原计划实施，需延迟到以后年度按原规定用途继续使用的资金。</w:t>
      </w:r>
    </w:p>
    <w:p>
      <w:pPr>
        <w:widowControl/>
        <w:shd w:val="clear" w:color="auto" w:fill="FFFFFF"/>
        <w:wordWrap w:val="0"/>
        <w:spacing w:line="450" w:lineRule="atLeast"/>
        <w:jc w:val="left"/>
        <w:rPr>
          <w:rFonts w:ascii="宋体"/>
          <w:sz w:val="32"/>
          <w:szCs w:val="32"/>
        </w:rPr>
      </w:pPr>
      <w:r>
        <w:rPr>
          <w:rFonts w:ascii="宋体"/>
          <w:sz w:val="32"/>
          <w:szCs w:val="32"/>
        </w:rPr>
        <w:t>      </w:t>
      </w:r>
      <w:r>
        <w:rPr>
          <w:rFonts w:hint="eastAsia" w:asci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（</w:t>
      </w:r>
      <w:r>
        <w:rPr>
          <w:rFonts w:hint="eastAsia" w:ascii="宋体"/>
          <w:sz w:val="32"/>
          <w:szCs w:val="32"/>
        </w:rPr>
        <w:t>六</w:t>
      </w:r>
      <w:r>
        <w:rPr>
          <w:rFonts w:ascii="宋体"/>
          <w:sz w:val="32"/>
          <w:szCs w:val="32"/>
        </w:rPr>
        <w:t>）基本支出：指为保障机构正常运转、完成日常工作任务而发生的人员支出和公用支出。</w:t>
      </w:r>
    </w:p>
    <w:p>
      <w:pPr>
        <w:widowControl/>
        <w:shd w:val="clear" w:color="auto" w:fill="FFFFFF"/>
        <w:wordWrap w:val="0"/>
        <w:spacing w:line="450" w:lineRule="atLeast"/>
        <w:jc w:val="left"/>
        <w:rPr>
          <w:rFonts w:ascii="宋体"/>
          <w:sz w:val="32"/>
          <w:szCs w:val="32"/>
        </w:rPr>
      </w:pPr>
      <w:r>
        <w:rPr>
          <w:rFonts w:ascii="宋体"/>
          <w:sz w:val="32"/>
          <w:szCs w:val="32"/>
        </w:rPr>
        <w:t>     </w:t>
      </w:r>
      <w:r>
        <w:rPr>
          <w:rFonts w:hint="eastAsia" w:asci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 </w:t>
      </w:r>
    </w:p>
    <w:p>
      <w:pPr>
        <w:widowControl/>
        <w:shd w:val="clear" w:color="auto" w:fill="FFFFFF"/>
        <w:wordWrap w:val="0"/>
        <w:spacing w:line="450" w:lineRule="atLeast"/>
        <w:jc w:val="left"/>
        <w:rPr>
          <w:rFonts w:ascii="宋体"/>
          <w:sz w:val="32"/>
          <w:szCs w:val="32"/>
        </w:rPr>
      </w:pPr>
      <w:r>
        <w:rPr>
          <w:rFonts w:ascii="宋体"/>
          <w:sz w:val="32"/>
          <w:szCs w:val="32"/>
        </w:rPr>
        <w:t> </w:t>
      </w:r>
    </w:p>
    <w:p>
      <w:pPr>
        <w:tabs>
          <w:tab w:val="left" w:pos="5025"/>
        </w:tabs>
        <w:rPr>
          <w:rFonts w:ascii="宋体"/>
          <w:sz w:val="32"/>
          <w:szCs w:val="32"/>
        </w:rPr>
      </w:pPr>
    </w:p>
    <w:p>
      <w:pPr>
        <w:rPr>
          <w:rFonts w:ascii="宋体"/>
          <w:sz w:val="32"/>
          <w:szCs w:val="32"/>
        </w:rPr>
      </w:pPr>
    </w:p>
    <w:p>
      <w:pPr>
        <w:rPr>
          <w:rFonts w:ascii="宋体"/>
          <w:sz w:val="32"/>
          <w:szCs w:val="32"/>
        </w:rPr>
      </w:pPr>
    </w:p>
    <w:p>
      <w:pPr>
        <w:rPr>
          <w:rFonts w:ascii="宋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方正小标宋简体">
    <w:altName w:val="黑体"/>
    <w:panose1 w:val="00000000000000000000"/>
    <w:charset w:val="86"/>
    <w:family w:val="script"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662443835">
    <w:nsid w:val="6316E13B"/>
    <w:multiLevelType w:val="singleLevel"/>
    <w:tmpl w:val="6316E13B"/>
    <w:lvl w:ilvl="0" w:tentative="1">
      <w:start w:val="1"/>
      <w:numFmt w:val="decimal"/>
      <w:suff w:val="nothing"/>
      <w:lvlText w:val="%1."/>
      <w:lvlJc w:val="left"/>
    </w:lvl>
  </w:abstractNum>
  <w:abstractNum w:abstractNumId="551502905">
    <w:nsid w:val="20DF4439"/>
    <w:multiLevelType w:val="multilevel"/>
    <w:tmpl w:val="20DF4439"/>
    <w:lvl w:ilvl="0" w:tentative="1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70" w:hanging="420"/>
      </w:pPr>
    </w:lvl>
    <w:lvl w:ilvl="2" w:tentative="1">
      <w:start w:val="1"/>
      <w:numFmt w:val="lowerRoman"/>
      <w:lvlText w:val="%3."/>
      <w:lvlJc w:val="right"/>
      <w:pPr>
        <w:ind w:left="1890" w:hanging="420"/>
      </w:pPr>
    </w:lvl>
    <w:lvl w:ilvl="3" w:tentative="1">
      <w:start w:val="1"/>
      <w:numFmt w:val="decimal"/>
      <w:lvlText w:val="%4."/>
      <w:lvlJc w:val="left"/>
      <w:pPr>
        <w:ind w:left="2310" w:hanging="420"/>
      </w:pPr>
    </w:lvl>
    <w:lvl w:ilvl="4" w:tentative="1">
      <w:start w:val="1"/>
      <w:numFmt w:val="lowerLetter"/>
      <w:lvlText w:val="%5)"/>
      <w:lvlJc w:val="left"/>
      <w:pPr>
        <w:ind w:left="2730" w:hanging="420"/>
      </w:pPr>
    </w:lvl>
    <w:lvl w:ilvl="5" w:tentative="1">
      <w:start w:val="1"/>
      <w:numFmt w:val="lowerRoman"/>
      <w:lvlText w:val="%6."/>
      <w:lvlJc w:val="right"/>
      <w:pPr>
        <w:ind w:left="3150" w:hanging="420"/>
      </w:pPr>
    </w:lvl>
    <w:lvl w:ilvl="6" w:tentative="1">
      <w:start w:val="1"/>
      <w:numFmt w:val="decimal"/>
      <w:lvlText w:val="%7."/>
      <w:lvlJc w:val="left"/>
      <w:pPr>
        <w:ind w:left="3570" w:hanging="420"/>
      </w:pPr>
    </w:lvl>
    <w:lvl w:ilvl="7" w:tentative="1">
      <w:start w:val="1"/>
      <w:numFmt w:val="lowerLetter"/>
      <w:lvlText w:val="%8)"/>
      <w:lvlJc w:val="left"/>
      <w:pPr>
        <w:ind w:left="3990" w:hanging="420"/>
      </w:pPr>
    </w:lvl>
    <w:lvl w:ilvl="8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1556116819">
    <w:nsid w:val="5CC07553"/>
    <w:multiLevelType w:val="multilevel"/>
    <w:tmpl w:val="5CC07553"/>
    <w:lvl w:ilvl="0" w:tentative="1">
      <w:start w:val="1"/>
      <w:numFmt w:val="japaneseCounting"/>
      <w:lvlText w:val="%1、"/>
      <w:lvlJc w:val="left"/>
      <w:pPr>
        <w:ind w:left="720" w:hanging="720"/>
      </w:pPr>
      <w:rPr>
        <w:rFonts w:hint="default" w:cs="Times New Roman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10859225">
    <w:nsid w:val="187D36D9"/>
    <w:multiLevelType w:val="multilevel"/>
    <w:tmpl w:val="187D36D9"/>
    <w:lvl w:ilvl="0" w:tentative="1">
      <w:start w:val="1"/>
      <w:numFmt w:val="japaneseCounting"/>
      <w:lvlText w:val="%1、"/>
      <w:lvlJc w:val="left"/>
      <w:pPr>
        <w:ind w:left="720" w:hanging="720"/>
      </w:pPr>
      <w:rPr>
        <w:rFonts w:hint="default" w:cs="Times New Roman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410859225"/>
  </w:num>
  <w:num w:numId="2">
    <w:abstractNumId w:val="1556116819"/>
  </w:num>
  <w:num w:numId="3">
    <w:abstractNumId w:val="551502905"/>
  </w:num>
  <w:num w:numId="4">
    <w:abstractNumId w:val="16624438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nhideWhenUsed="0" w:uiPriority="9" w:semiHidden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name="header"/>
    <w:lsdException w:qFormat="1"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nhideWhenUsed="0" w:uiPriority="99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5"/>
    <w:basedOn w:val="1"/>
    <w:next w:val="1"/>
    <w:link w:val="13"/>
    <w:qFormat/>
    <w:locked/>
    <w:uiPriority w:val="9"/>
    <w:pPr>
      <w:widowControl/>
      <w:spacing w:before="100" w:beforeAutospacing="1" w:after="100" w:afterAutospacing="1"/>
      <w:jc w:val="left"/>
      <w:outlineLvl w:val="4"/>
    </w:pPr>
    <w:rPr>
      <w:rFonts w:ascii="宋体" w:hAnsi="宋体" w:cs="宋体"/>
      <w:b/>
      <w:bCs/>
      <w:kern w:val="0"/>
      <w:sz w:val="20"/>
      <w:szCs w:val="20"/>
    </w:rPr>
  </w:style>
  <w:style w:type="character" w:default="1" w:styleId="6">
    <w:name w:val="Default Paragraph Font"/>
    <w:semiHidden/>
    <w:unhideWhenUsed/>
    <w:uiPriority w:val="1"/>
    <w:rPr>
      <w:rFonts w:eastAsia="宋体"/>
      <w:sz w:val="21"/>
      <w:szCs w:val="20"/>
    </w:rPr>
  </w:style>
  <w:style w:type="paragraph" w:styleId="3">
    <w:name w:val="Date"/>
    <w:basedOn w:val="1"/>
    <w:next w:val="1"/>
    <w:link w:val="12"/>
    <w:semiHidden/>
    <w:uiPriority w:val="99"/>
    <w:pPr>
      <w:ind w:left="100" w:leftChars="2500"/>
    </w:pPr>
  </w:style>
  <w:style w:type="paragraph" w:styleId="4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semiHidden/>
    <w:unhideWhenUsed/>
    <w:uiPriority w:val="0"/>
    <w:rPr/>
  </w:style>
  <w:style w:type="paragraph" w:customStyle="1" w:styleId="8">
    <w:name w:val="列出段落1"/>
    <w:basedOn w:val="1"/>
    <w:qFormat/>
    <w:uiPriority w:val="99"/>
    <w:pPr>
      <w:ind w:firstLine="420" w:firstLineChars="200"/>
    </w:pPr>
  </w:style>
  <w:style w:type="paragraph" w:customStyle="1" w:styleId="9">
    <w:name w:val="custom_unionstyle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0">
    <w:name w:val="页眉 Char Char"/>
    <w:basedOn w:val="6"/>
    <w:link w:val="5"/>
    <w:uiPriority w:val="99"/>
    <w:rPr>
      <w:rFonts w:cs="Times New Roman"/>
      <w:sz w:val="18"/>
      <w:szCs w:val="18"/>
    </w:rPr>
  </w:style>
  <w:style w:type="character" w:customStyle="1" w:styleId="11">
    <w:name w:val="页脚 Char Char"/>
    <w:basedOn w:val="6"/>
    <w:link w:val="4"/>
    <w:uiPriority w:val="99"/>
    <w:rPr>
      <w:rFonts w:cs="Times New Roman"/>
      <w:sz w:val="18"/>
      <w:szCs w:val="18"/>
    </w:rPr>
  </w:style>
  <w:style w:type="character" w:customStyle="1" w:styleId="12">
    <w:name w:val="日期 Char Char"/>
    <w:basedOn w:val="6"/>
    <w:link w:val="3"/>
    <w:uiPriority w:val="99"/>
    <w:rPr>
      <w:rFonts w:cs="Times New Roman"/>
    </w:rPr>
  </w:style>
  <w:style w:type="character" w:customStyle="1" w:styleId="13">
    <w:name w:val="标题 5 Char Char"/>
    <w:basedOn w:val="6"/>
    <w:link w:val="2"/>
    <w:uiPriority w:val="9"/>
    <w:rPr>
      <w:rFonts w:ascii="宋体" w:hAnsi="宋体" w:cs="宋体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317</Words>
  <Characters>1810</Characters>
  <Lines>15</Lines>
  <Paragraphs>4</Paragraphs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2017-06-04T03:38:00Z</dcterms:created>
  <dc:creator>Administrator</dc:creator>
  <cp:lastModifiedBy>Administrator</cp:lastModifiedBy>
  <cp:lastPrinted>2019-04-13T09:33:00Z</cp:lastPrinted>
  <dcterms:modified xsi:type="dcterms:W3CDTF">2022-09-07T07:35:22Z</dcterms:modified>
  <dc:title>梨树县XXX局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